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CB" w:rsidRPr="00DB0AB6" w:rsidRDefault="00DB0AB6" w:rsidP="007E53B2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Основные положения учетной политики </w:t>
      </w:r>
    </w:p>
    <w:p w:rsidR="007E53B2" w:rsidRPr="00DB0AB6" w:rsidRDefault="007E53B2" w:rsidP="007E53B2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Краевого государственного автономного учреждения</w:t>
      </w:r>
    </w:p>
    <w:p w:rsidR="00364D35" w:rsidRPr="00DB0AB6" w:rsidRDefault="007E53B2" w:rsidP="007E53B2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физкультурно-оздоровительный комплекс «Радужный»</w:t>
      </w:r>
      <w:r w:rsidR="00364D35" w:rsidRPr="00DB0A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7E53B2" w:rsidRPr="00DB0AB6" w:rsidRDefault="00364D35" w:rsidP="007E53B2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(выдержки)</w:t>
      </w:r>
    </w:p>
    <w:p w:rsidR="00C471CB" w:rsidRPr="00DB0AB6" w:rsidRDefault="00DB0AB6" w:rsidP="007E53B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Учетная политика</w:t>
      </w:r>
      <w:r w:rsidR="007E53B2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="007E53B2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раевого государственного автономного учреждения физкультурно-оздоровительный комплекс «Радужный»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E53B2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Учреждение)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утверждена приказом от 2</w:t>
      </w:r>
      <w:r w:rsidR="007E53B2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.12.202</w:t>
      </w:r>
      <w:r w:rsidR="007E53B2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1</w:t>
      </w:r>
      <w:r w:rsidR="007E53B2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92-о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E53B2" w:rsidRPr="00DB0AB6" w:rsidRDefault="00DB0AB6" w:rsidP="007E53B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="007E53B2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Бухгалтерский учет ведет структурное подразделение – отдел учета и отчетности (далее – бухгалтерия). Сотрудники бухгалтерии руководствуются в работе положением об отделе, должностными инструкциями. Ответственным за ведение бухгалтерского учета в учреждении является главный бухгалтер. Полномочиями главного бухгалтера наделен финансовый директор учреждения</w:t>
      </w:r>
    </w:p>
    <w:p w:rsidR="00C471CB" w:rsidRPr="00DB0AB6" w:rsidRDefault="00DB0AB6" w:rsidP="007E53B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7E53B2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Обособленное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подразделени</w:t>
      </w:r>
      <w:r w:rsidR="007E53B2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учреждения</w:t>
      </w:r>
      <w:r w:rsidR="007E53B2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ФОК «Водник»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364D35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</w:t>
      </w:r>
      <w:r w:rsidR="00364D35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лицев</w:t>
      </w:r>
      <w:r w:rsidR="00364D35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ых 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</w:t>
      </w:r>
      <w:r w:rsidR="00364D35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территориальных органах Федерального казначейства</w:t>
      </w:r>
      <w:r w:rsidR="00364D35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отдельного баланса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471CB" w:rsidRPr="00DB0AB6" w:rsidRDefault="00DB0AB6" w:rsidP="00364D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="00364D35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Бухгалтерский учет ведется в электронном виде с применением программных продуктов «1С: Предприятие 8.3 Бухгалтерия государственного учреждения, редакция 2.0» и Программный комплекс </w:t>
      </w:r>
      <w:proofErr w:type="spellStart"/>
      <w:r w:rsidR="00364D35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Success</w:t>
      </w:r>
      <w:proofErr w:type="spellEnd"/>
      <w:r w:rsidR="00364D35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«Зарплата и Кадры».</w:t>
      </w:r>
    </w:p>
    <w:p w:rsidR="00C471CB" w:rsidRPr="00DB0AB6" w:rsidRDefault="00DB0AB6" w:rsidP="00364D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4. С использованием телекоммуникационных кан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C471CB" w:rsidRPr="00DB0AB6" w:rsidRDefault="00DB0AB6" w:rsidP="00364D35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электронного документооборота с территориальным органом Федерального казначейства;</w:t>
      </w:r>
    </w:p>
    <w:p w:rsidR="00C471CB" w:rsidRPr="00DB0AB6" w:rsidRDefault="00DB0AB6" w:rsidP="00364D35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передача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бухгалтерской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отчетности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учредит</w:t>
      </w:r>
      <w:r w:rsidRPr="00DB0AB6">
        <w:rPr>
          <w:rFonts w:ascii="Times New Roman" w:hAnsi="Times New Roman" w:cs="Times New Roman"/>
          <w:color w:val="000000"/>
          <w:sz w:val="28"/>
          <w:szCs w:val="28"/>
        </w:rPr>
        <w:t>елю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71CB" w:rsidRPr="00DB0AB6" w:rsidRDefault="00DB0AB6" w:rsidP="00364D35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передача отчетности по налогам, сборам и иным обязательным платежам в инспекцию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Федеральной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налоговой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71CB" w:rsidRPr="00DB0AB6" w:rsidRDefault="00DB0AB6" w:rsidP="00364D35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передача отчетности в отделение </w:t>
      </w:r>
      <w:r w:rsidR="00364D35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Социального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фонда;</w:t>
      </w:r>
    </w:p>
    <w:p w:rsidR="00C471CB" w:rsidRPr="00DB0AB6" w:rsidRDefault="00DB0AB6" w:rsidP="00364D35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размещение информации о деятельности учреждения на официальном сайте </w:t>
      </w:r>
      <w:r w:rsidRPr="00DB0AB6">
        <w:rPr>
          <w:rFonts w:ascii="Times New Roman" w:hAnsi="Times New Roman" w:cs="Times New Roman"/>
          <w:color w:val="000000"/>
          <w:sz w:val="28"/>
          <w:szCs w:val="28"/>
        </w:rPr>
        <w:t>bus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64D35" w:rsidRPr="00DB0AB6" w:rsidRDefault="00364D35" w:rsidP="00364D35">
      <w:pPr>
        <w:pStyle w:val="a3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передача отчетности в отделение Федеральной службы государственной статистики.</w:t>
      </w:r>
    </w:p>
    <w:p w:rsidR="00C471CB" w:rsidRPr="00DB0AB6" w:rsidRDefault="00DB0AB6" w:rsidP="00364D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При оф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ормлении фактов хозяйственной жизни применяются унифицированные формы первичных учетных документов</w:t>
      </w:r>
      <w:r w:rsidRPr="00DB0A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приказами Минфина</w:t>
      </w:r>
      <w:r w:rsidRPr="00DB0A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30.03.2015 № 52н,</w:t>
      </w:r>
      <w:r w:rsidRPr="00DB0A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15.04.2021 № 61н. При оформлении фактов хозяйственной жизни, по которым не предусмотрены 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типовые ф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ормы, применяются формы, установленные в </w:t>
      </w:r>
      <w:r w:rsidRPr="00DB0AB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приложении</w:t>
      </w:r>
      <w:r w:rsidR="008E255E" w:rsidRPr="00DB0AB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DB0AB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3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учетной политик</w:t>
      </w:r>
      <w:r w:rsidR="008E255E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471CB" w:rsidRPr="00DB0AB6" w:rsidRDefault="00DB0AB6" w:rsidP="00364D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6. Бухучет ведется по первичным документам, которые проверены сотрудниками бухгалтерии в соответствии с положением о внутреннем ф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инансовом контроле (</w:t>
      </w:r>
      <w:r w:rsidRPr="00DB0AB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приложение 9</w:t>
      </w:r>
      <w:r w:rsidR="008E255E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E255E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учетной политики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C471CB" w:rsidRPr="00DB0AB6" w:rsidRDefault="00DB0AB6" w:rsidP="008E25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Инве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нтаризация активов и обязательств проводится в соответствии с Порядком проведения инвентаризации, утвержденным в </w:t>
      </w:r>
      <w:r w:rsidRPr="00DB0AB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приложении</w:t>
      </w:r>
      <w:r w:rsidR="008E255E" w:rsidRPr="00DB0AB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5</w:t>
      </w:r>
      <w:r w:rsidRPr="00DB0A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="008E255E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учетной политики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 ежегодными </w:t>
      </w:r>
      <w:r w:rsidR="008E255E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решениями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учреждения о проведении инвентаризации объектов бухучета.</w:t>
      </w:r>
    </w:p>
    <w:p w:rsidR="00C471CB" w:rsidRPr="00DB0AB6" w:rsidRDefault="00DB0AB6" w:rsidP="008E25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8. Для случаев, ко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поступлению и выбытию активов.</w:t>
      </w:r>
    </w:p>
    <w:p w:rsidR="00C471CB" w:rsidRPr="00DB0AB6" w:rsidRDefault="00DB0AB6" w:rsidP="008E25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9. В случае если для показателя, необходимого дл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ведения бухгалтерского учета, не установлен метод оценки в законодательстве и в 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учетной политике, то величина оценочного показателя определяется профессиональным суждением </w:t>
      </w:r>
      <w:r w:rsidR="008E255E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финансового директора, наделённого полномочиями 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главного бухгалтера.</w:t>
      </w:r>
    </w:p>
    <w:p w:rsidR="00C471CB" w:rsidRPr="00DB0AB6" w:rsidRDefault="00DB0AB6" w:rsidP="008E25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10. Учреждение учитывает в составе основных средств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материальные объекты имущества</w:t>
      </w:r>
      <w:r w:rsidRPr="00DB0A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независимо от их стоимости</w:t>
      </w:r>
      <w:r w:rsidRPr="00DB0A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 сроком полезного использования более 12 месяцев, а также бесконтактные термометры</w:t>
      </w:r>
      <w:r w:rsidR="007E29C6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инвентарь. Перечень объектов, которые относятся к группе «Инвента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рь производственный и хозяйственный», приведен в </w:t>
      </w:r>
      <w:r w:rsidRPr="00DB0AB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приложении 10</w:t>
      </w:r>
      <w:r w:rsidRPr="00DB0AB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.</w:t>
      </w:r>
    </w:p>
    <w:p w:rsidR="00C471CB" w:rsidRPr="00DB0AB6" w:rsidRDefault="00DB0AB6" w:rsidP="007E29C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11. В один инвентарный объект, признаваемый комплексом объектов основных средств, </w:t>
      </w:r>
      <w:r w:rsidR="007E29C6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могут 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объедин</w:t>
      </w:r>
      <w:r w:rsidR="007E29C6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 объекты имущества несущественной стоимости, имеющие одинаковые сроки полезного и ожидаемого испол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ьзования:</w:t>
      </w:r>
    </w:p>
    <w:p w:rsidR="00C471CB" w:rsidRPr="00DB0AB6" w:rsidRDefault="00DB0AB6" w:rsidP="007E29C6">
      <w:pPr>
        <w:numPr>
          <w:ilvl w:val="0"/>
          <w:numId w:val="2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мебель для обстановки одного помещения: столы, стулья, стеллажи, шкафы, полки;</w:t>
      </w:r>
    </w:p>
    <w:p w:rsidR="00C471CB" w:rsidRPr="00DB0AB6" w:rsidRDefault="00DB0AB6" w:rsidP="007E29C6">
      <w:pPr>
        <w:numPr>
          <w:ilvl w:val="0"/>
          <w:numId w:val="2"/>
        </w:numPr>
        <w:ind w:left="78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компьютерное и периферийное оборудование: системные блоки, мониторы, компьютерные мыши, клавиатуры, принтеры, сканеры, колонки, 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акустические системы, микрофоны, веб-камеры, устройства захвата видео, внешние ТВ-тюнеры, внешние накопители на жестких дисках.</w:t>
      </w:r>
    </w:p>
    <w:p w:rsidR="00C471CB" w:rsidRPr="00DB0AB6" w:rsidRDefault="00DB0AB6" w:rsidP="007E29C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12. Не считается существенной стоимость до 20 000 руб. за один имущественный объект. Необходимость объединения и конкретный пере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чень объединяемых объектов определяет комиссия учреждения по поступлению и выбытию активов.</w:t>
      </w:r>
    </w:p>
    <w:p w:rsidR="00C471CB" w:rsidRPr="00DB0AB6" w:rsidRDefault="00DB0AB6" w:rsidP="007E53B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13. Затраты по замене отдельных составных частей комплекса конструктивно-сочлененных предметов, в том числе при капитальном ремонте, включаются в момент их возникно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выбываемых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составных частей.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Данное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правило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применяется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 xml:space="preserve"> к следующим группам основных средств:</w:t>
      </w:r>
    </w:p>
    <w:p w:rsidR="00C471CB" w:rsidRPr="00DB0AB6" w:rsidRDefault="00DB0AB6" w:rsidP="007E53B2">
      <w:pPr>
        <w:numPr>
          <w:ilvl w:val="0"/>
          <w:numId w:val="3"/>
        </w:numPr>
        <w:ind w:left="780" w:right="18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</w:rPr>
        <w:t>машины и оборудование;</w:t>
      </w:r>
    </w:p>
    <w:p w:rsidR="00C471CB" w:rsidRPr="00DB0AB6" w:rsidRDefault="00DB0AB6" w:rsidP="007E53B2">
      <w:pPr>
        <w:numPr>
          <w:ilvl w:val="0"/>
          <w:numId w:val="3"/>
        </w:numPr>
        <w:ind w:left="780" w:right="18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</w:rPr>
        <w:t>транспортные средства;</w:t>
      </w:r>
    </w:p>
    <w:p w:rsidR="00C471CB" w:rsidRPr="00DB0AB6" w:rsidRDefault="00DB0AB6" w:rsidP="007E53B2">
      <w:pPr>
        <w:numPr>
          <w:ilvl w:val="0"/>
          <w:numId w:val="3"/>
        </w:numPr>
        <w:ind w:left="780" w:right="18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</w:rPr>
        <w:t>инвента</w:t>
      </w:r>
      <w:r w:rsidRPr="00DB0AB6">
        <w:rPr>
          <w:rFonts w:ascii="Times New Roman" w:hAnsi="Times New Roman" w:cs="Times New Roman"/>
          <w:color w:val="000000"/>
          <w:sz w:val="28"/>
          <w:szCs w:val="28"/>
        </w:rPr>
        <w:t>рь производственный и хозяйственный;</w:t>
      </w:r>
    </w:p>
    <w:p w:rsidR="00C471CB" w:rsidRPr="00DB0AB6" w:rsidRDefault="00DB0AB6" w:rsidP="007E53B2">
      <w:pPr>
        <w:numPr>
          <w:ilvl w:val="0"/>
          <w:numId w:val="3"/>
        </w:numPr>
        <w:ind w:left="780" w:right="18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многолетние</w:t>
      </w:r>
      <w:proofErr w:type="gramEnd"/>
      <w:r w:rsidRPr="00DB0AB6">
        <w:rPr>
          <w:rFonts w:ascii="Times New Roman" w:hAnsi="Times New Roman" w:cs="Times New Roman"/>
          <w:color w:val="000000"/>
          <w:sz w:val="28"/>
          <w:szCs w:val="28"/>
        </w:rPr>
        <w:t xml:space="preserve"> насаждения.</w:t>
      </w:r>
    </w:p>
    <w:p w:rsidR="00C471CB" w:rsidRPr="00DB0AB6" w:rsidRDefault="00DB0AB6" w:rsidP="007E29C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14. В случае частичной ликвидации или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разукомплектации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объекта основного средства, если стоимость ликвидируемых (разукомплектованных) частей не выделена в документах поставщика, стоимость таких ч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астей определяется пропорционально следующему показателю </w:t>
      </w:r>
      <w:r w:rsidRPr="00DB0AB6">
        <w:rPr>
          <w:rFonts w:ascii="Times New Roman" w:hAnsi="Times New Roman" w:cs="Times New Roman"/>
          <w:color w:val="000000"/>
          <w:sz w:val="28"/>
          <w:szCs w:val="28"/>
        </w:rPr>
        <w:t xml:space="preserve">(в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убывания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важности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C471CB" w:rsidRPr="00DB0AB6" w:rsidRDefault="00DB0AB6" w:rsidP="007E53B2">
      <w:pPr>
        <w:numPr>
          <w:ilvl w:val="0"/>
          <w:numId w:val="4"/>
        </w:numPr>
        <w:ind w:left="780" w:right="18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</w:rPr>
        <w:t>площади;</w:t>
      </w:r>
    </w:p>
    <w:p w:rsidR="00C471CB" w:rsidRPr="00DB0AB6" w:rsidRDefault="00DB0AB6" w:rsidP="007E53B2">
      <w:pPr>
        <w:numPr>
          <w:ilvl w:val="0"/>
          <w:numId w:val="4"/>
        </w:numPr>
        <w:ind w:left="780" w:right="18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</w:rPr>
        <w:t>объему;</w:t>
      </w:r>
    </w:p>
    <w:p w:rsidR="00C471CB" w:rsidRPr="00DB0AB6" w:rsidRDefault="00DB0AB6" w:rsidP="007E53B2">
      <w:pPr>
        <w:numPr>
          <w:ilvl w:val="0"/>
          <w:numId w:val="4"/>
        </w:numPr>
        <w:ind w:left="780" w:right="18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</w:rPr>
        <w:t>весу;</w:t>
      </w:r>
    </w:p>
    <w:p w:rsidR="00C471CB" w:rsidRPr="00DB0AB6" w:rsidRDefault="00DB0AB6" w:rsidP="007E53B2">
      <w:pPr>
        <w:numPr>
          <w:ilvl w:val="0"/>
          <w:numId w:val="4"/>
        </w:numPr>
        <w:ind w:left="780" w:right="180"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иному показателю, установленному комиссией по поступлению и выбытию активов.</w:t>
      </w:r>
    </w:p>
    <w:p w:rsidR="00C471CB" w:rsidRPr="00DB0AB6" w:rsidRDefault="00DB0AB6" w:rsidP="007E29C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15. Затраты на создание активов при проведении регулярных осмотров н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предмет наличия дефектов, являющихся обязательным условием их эксплуатации, а также при проведении ремонтов (модернизаций,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дооборудований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реконструкций, в том числе с элементами реставраций, технических перевооружений) формируют объем капитальных вложен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ий с дальнейшим признанием в стоимости объекта основных средств.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амортизации.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Данное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правило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DB0AB6">
        <w:rPr>
          <w:rFonts w:ascii="Times New Roman" w:hAnsi="Times New Roman" w:cs="Times New Roman"/>
          <w:color w:val="000000"/>
          <w:sz w:val="28"/>
          <w:szCs w:val="28"/>
        </w:rPr>
        <w:t>меняется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 xml:space="preserve"> к следующим группам основных средств:</w:t>
      </w:r>
    </w:p>
    <w:p w:rsidR="00C471CB" w:rsidRPr="00DB0AB6" w:rsidRDefault="00DB0AB6" w:rsidP="007E53B2">
      <w:pPr>
        <w:numPr>
          <w:ilvl w:val="0"/>
          <w:numId w:val="5"/>
        </w:numPr>
        <w:ind w:left="780" w:right="18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</w:rPr>
        <w:t>машины и оборудование;</w:t>
      </w:r>
    </w:p>
    <w:p w:rsidR="00C471CB" w:rsidRPr="00DB0AB6" w:rsidRDefault="00DB0AB6" w:rsidP="007E53B2">
      <w:pPr>
        <w:numPr>
          <w:ilvl w:val="0"/>
          <w:numId w:val="5"/>
        </w:numPr>
        <w:ind w:left="780" w:right="18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транспортные</w:t>
      </w:r>
      <w:proofErr w:type="gramEnd"/>
      <w:r w:rsidRPr="00DB0AB6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средства.</w:t>
      </w:r>
    </w:p>
    <w:p w:rsidR="00C471CB" w:rsidRPr="00DB0AB6" w:rsidRDefault="00DB0AB6" w:rsidP="007E53B2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16. Начисление амортизации основных средств осуществляется следующим образом:</w:t>
      </w:r>
    </w:p>
    <w:p w:rsidR="00C471CB" w:rsidRPr="00DB0AB6" w:rsidRDefault="00DB0AB6" w:rsidP="007E53B2">
      <w:pPr>
        <w:numPr>
          <w:ilvl w:val="0"/>
          <w:numId w:val="6"/>
        </w:numPr>
        <w:ind w:left="780" w:right="180"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линейным методом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471CB" w:rsidRPr="00DB0AB6" w:rsidRDefault="00DB0AB6" w:rsidP="007E29C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17. В </w:t>
      </w:r>
      <w:r w:rsidR="007E29C6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случаях,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когда установлены одинаковые сроки полезного использования и метод расчета амортизации всех стр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уктурных частей единого объекта основных средств, учреждение объединяет такие части для определения суммы амортизации.</w:t>
      </w:r>
    </w:p>
    <w:p w:rsidR="00C471CB" w:rsidRPr="00DB0AB6" w:rsidRDefault="00DB0AB6" w:rsidP="007E29C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18.</w:t>
      </w:r>
      <w:r w:rsidRPr="00DB0A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переоценке объекта основных средств накопленная амортизация на дату переоценки пересчитывается пропорционально изменению 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первоначальной стоимости объекта таким образом, чтобы его остаточная стоимость после переоценки равнялась его переоцененной стоимости. При этом балансовая стоимость и накопленная амортизация увеличиваются (умножаются) на одинаковый коэффициент таким образо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м, чтобы при их суммировании получить переоцененную стоимость на дату проведения переоценки.</w:t>
      </w:r>
    </w:p>
    <w:p w:rsidR="00C471CB" w:rsidRPr="00DB0AB6" w:rsidRDefault="00DB0AB6" w:rsidP="007E53B2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19. Основные средства стоимостью до 10 000 руб. включительно, находящиеся в эксплуатации, учитываются на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забалансовом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счете 21 по балансовой стоимости.</w:t>
      </w:r>
    </w:p>
    <w:p w:rsidR="00C471CB" w:rsidRPr="00DB0AB6" w:rsidRDefault="00DB0AB6" w:rsidP="007E53B2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20.</w:t>
      </w:r>
      <w:r w:rsidRPr="00DB0A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Расходы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:rsidR="00C471CB" w:rsidRPr="00DB0AB6" w:rsidRDefault="00DB0AB6" w:rsidP="007E29C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21. Начисление амортизации нематериальных активов осуществляется следующим образом:</w:t>
      </w:r>
    </w:p>
    <w:p w:rsidR="00C471CB" w:rsidRPr="00DB0AB6" w:rsidRDefault="00DB0AB6" w:rsidP="007E53B2">
      <w:pPr>
        <w:numPr>
          <w:ilvl w:val="0"/>
          <w:numId w:val="7"/>
        </w:numPr>
        <w:ind w:left="780" w:right="180"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линейным методом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471CB" w:rsidRPr="00DB0AB6" w:rsidRDefault="00DB0AB6" w:rsidP="007E29C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22. Учреждение учитывает в составе материальны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 запасов материальные объекты, указанные в пунктах 98–99 Инструкции к Единому плану счетов № 157н, а также производственный и хозяйственный инвентарь, перечень которого приведен в </w:t>
      </w:r>
      <w:r w:rsidRPr="00DB0AB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приложении 10</w:t>
      </w:r>
      <w:r w:rsidRPr="00DB0AB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.</w:t>
      </w:r>
    </w:p>
    <w:p w:rsidR="00C471CB" w:rsidRPr="00DB0AB6" w:rsidRDefault="00DB0AB6" w:rsidP="007E53B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23. Единица учета материальных запасов в учреждении – номенк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латурная (реестровая) единица.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Исключения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471CB" w:rsidRPr="00DB0AB6" w:rsidRDefault="00DB0AB6" w:rsidP="00F620CF">
      <w:pPr>
        <w:numPr>
          <w:ilvl w:val="0"/>
          <w:numId w:val="8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группы материальных запасов, характеристики которых совпадают, </w:t>
      </w:r>
      <w:proofErr w:type="gramStart"/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</w:t>
      </w:r>
      <w:proofErr w:type="gramEnd"/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: офисная бумага одного формата с одинаковым количеством листов в пачке, кнопки канцелярские с одинаковыми диаметром и количеством штук в коро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бке и т. д. Единица учета таких материальных запасов – однородная (реестровая) группа запасов</w:t>
      </w:r>
      <w:r w:rsidR="00F620CF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471CB" w:rsidRPr="00DB0AB6" w:rsidRDefault="00C471CB" w:rsidP="00F620CF">
      <w:pPr>
        <w:ind w:left="1489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471CB" w:rsidRPr="00DB0AB6" w:rsidRDefault="00DB0AB6" w:rsidP="00F620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24.</w:t>
      </w:r>
      <w:r w:rsidRPr="00DB0A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Списание материальных запасов производится по средней фактической стоимости.</w:t>
      </w:r>
    </w:p>
    <w:p w:rsidR="00C471CB" w:rsidRPr="00DB0AB6" w:rsidRDefault="00F620CF" w:rsidP="00F620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25</w:t>
      </w:r>
      <w:r w:rsidR="00DB0AB6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Накладные расходы распределяются между себестоимостью разных ви</w:t>
      </w:r>
      <w:r w:rsidR="00DB0AB6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дов услуг </w:t>
      </w:r>
      <w:r w:rsidR="00DB0AB6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окончании месяца пропорционально прямым затратам на оплату труда в месяце.</w:t>
      </w:r>
    </w:p>
    <w:p w:rsidR="00C471CB" w:rsidRPr="00DB0AB6" w:rsidRDefault="00DB0AB6" w:rsidP="00F620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F620CF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Денежные средства выдаются под отчет на основании приказа руководителя или </w:t>
      </w:r>
      <w:r w:rsidR="00F620CF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согласованно</w:t>
      </w:r>
      <w:r w:rsidR="00F620CF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руководителем. Выдача денежных сре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дств под отчет производится путем:</w:t>
      </w:r>
    </w:p>
    <w:p w:rsidR="00C471CB" w:rsidRPr="00DB0AB6" w:rsidRDefault="00DB0AB6" w:rsidP="00F620CF">
      <w:pPr>
        <w:numPr>
          <w:ilvl w:val="0"/>
          <w:numId w:val="9"/>
        </w:numPr>
        <w:tabs>
          <w:tab w:val="clear" w:pos="720"/>
          <w:tab w:val="num" w:pos="780"/>
        </w:tabs>
        <w:ind w:left="780" w:right="180" w:firstLine="2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перечисления на зарплатную карту материально ответственного лица.</w:t>
      </w:r>
    </w:p>
    <w:p w:rsidR="00C471CB" w:rsidRPr="00DB0AB6" w:rsidRDefault="00DB0AB6" w:rsidP="00F620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F620CF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DB0A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Учреждение выдает денежные средства под отчет штатным сотрудникам, а также лицам, которые не состоят в штате, на основании отдельного приказа руководителя. Расчеты по выд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анным суммам проходят в порядке, установленном для штатных сотрудников.</w:t>
      </w:r>
    </w:p>
    <w:p w:rsidR="00C471CB" w:rsidRPr="00DB0AB6" w:rsidRDefault="00DB0AB6" w:rsidP="00F620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F620CF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DB0A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Денежные средства от виновных лиц в возмещение ущерба, причиненного нефинансовым активам, отражаются по коду вида деятельности «2» – приносящая доход деятельность (собственные дохо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ды учреждения).</w:t>
      </w:r>
    </w:p>
    <w:p w:rsidR="00C471CB" w:rsidRPr="00DB0AB6" w:rsidRDefault="00DB0AB6" w:rsidP="00F620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</w:t>
      </w:r>
    </w:p>
    <w:p w:rsidR="00C471CB" w:rsidRPr="00DB0AB6" w:rsidRDefault="00F620CF" w:rsidP="00F620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29</w:t>
      </w:r>
      <w:r w:rsidR="00DB0AB6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Кредиторская задолженность, не востребованная кредитором, списывае</w:t>
      </w:r>
      <w:r w:rsidR="00DB0AB6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 на финансовый результат на основании решения инвентаризационной комиссии о признании задолженности невостребованной.</w:t>
      </w:r>
      <w:r w:rsidR="00DB0AB6" w:rsidRPr="00DB0A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0AB6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Порядок принятия решения о списании с балансового и </w:t>
      </w:r>
      <w:proofErr w:type="spellStart"/>
      <w:r w:rsidR="00DB0AB6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забалансового</w:t>
      </w:r>
      <w:proofErr w:type="spellEnd"/>
      <w:r w:rsidR="00DB0AB6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учета утвержден в положении о списании кредиторской задолженности 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DB0AB6" w:rsidRPr="00DB0AB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</w:t>
      </w:r>
      <w:r w:rsidR="00DB0AB6" w:rsidRPr="00DB0AB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риложение </w:t>
      </w:r>
      <w:r w:rsidRPr="00DB0AB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1</w:t>
      </w:r>
      <w:r w:rsidR="00DB0AB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8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учетной политике)</w:t>
      </w:r>
      <w:r w:rsidR="00DB0AB6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471CB" w:rsidRPr="00DB0AB6" w:rsidRDefault="00DB0AB6" w:rsidP="00F620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F620CF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Доходы от предоставления права пользования активом (арендная плата) признаются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нды.</w:t>
      </w:r>
    </w:p>
    <w:p w:rsidR="00C471CB" w:rsidRPr="00DB0AB6" w:rsidRDefault="00DB0AB6" w:rsidP="00F620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F620CF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Доходы от оказания платных услуг по долгосрочным договорам (абонементам), срок исполнения которых превышает один год, признаются в учете в составе доходов будущих периодов в сумме договора. Доходы будущих периодов признаются в текущих доходах равн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омерно в последний день каждого месяца в разрезе каждого договора (абонемента). Аналогичный порядок признания доходов в текущем периоде применяется к договорам, в соответствии с которыми услуги оказываются неравномерно.</w:t>
      </w:r>
    </w:p>
    <w:p w:rsidR="00C471CB" w:rsidRPr="00DB0AB6" w:rsidRDefault="00DB0AB6" w:rsidP="00F620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F620CF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случае исполнения договора стр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оительного подряда учреждение определяет процент исполнения договора в целях признания доходов в текущем периоде</w:t>
      </w:r>
      <w:r w:rsidRPr="00DB0A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соотношение расходов, понесенных в связи с выполненным на конец отчетного периода объемом работ и предусмотренных сводным сметным расчетом,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общей величины расходов по долгосрочному договору строительного подряда, предусмотренной сводным сметным расчетом.</w:t>
      </w:r>
    </w:p>
    <w:p w:rsidR="00C471CB" w:rsidRPr="00DB0AB6" w:rsidRDefault="00DB0AB6" w:rsidP="007E53B2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F620CF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учреждении создаются:</w:t>
      </w:r>
    </w:p>
    <w:p w:rsidR="00C471CB" w:rsidRPr="00DB0AB6" w:rsidRDefault="00DB0AB6" w:rsidP="007E53B2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F620CF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Резерв расходов по выплатам персоналу. Порядок расчета резерва приведен в </w:t>
      </w:r>
      <w:r w:rsidRPr="00DB0AB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приложении 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2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471CB" w:rsidRPr="00DB0AB6" w:rsidRDefault="00DB0AB6" w:rsidP="00F620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F620CF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Резерв по искам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претензионным требованиям. Величина резерва устанавливается в размере претензии, предъявленной учреждению в судебном иске. В случае если иск будет отозван или не признан</w:t>
      </w:r>
      <w:r w:rsidRPr="00DB0A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судом, сумма резерва списывается с учета методом «красное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сторно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C471CB" w:rsidRPr="00DB0AB6" w:rsidRDefault="00DB0AB6" w:rsidP="007E53B2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F620CF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Для обособленных структурных подразделений, наделенных частичными полномочиями по ведению бухучета, устанавливаются следующие сроки представления бухгалтерской отчетности:</w:t>
      </w:r>
    </w:p>
    <w:p w:rsidR="00C471CB" w:rsidRPr="00DB0AB6" w:rsidRDefault="00F620CF" w:rsidP="007E53B2">
      <w:pPr>
        <w:numPr>
          <w:ilvl w:val="0"/>
          <w:numId w:val="10"/>
        </w:numPr>
        <w:ind w:left="780" w:right="180" w:firstLine="709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ежедневные</w:t>
      </w:r>
      <w:r w:rsidR="00DB0AB6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до 1</w:t>
      </w:r>
      <w:r w:rsidR="00DB0AB6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0-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00</w:t>
      </w:r>
      <w:r w:rsidR="00DB0AB6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</w:t>
      </w:r>
      <w:r w:rsidR="00DB0AB6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следующего за отчетным</w:t>
      </w:r>
      <w:r w:rsidR="00DB0AB6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471CB" w:rsidRPr="00DB0AB6" w:rsidRDefault="00F620CF" w:rsidP="00F620CF">
      <w:pPr>
        <w:numPr>
          <w:ilvl w:val="0"/>
          <w:numId w:val="10"/>
        </w:numPr>
        <w:ind w:left="78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еженедельные</w:t>
      </w:r>
      <w:r w:rsidR="00DB0AB6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до 17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-00</w:t>
      </w:r>
      <w:r w:rsidR="00DB0AB6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понедельника</w:t>
      </w:r>
      <w:r w:rsidR="00DB0AB6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следующего за 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отчетной неделей</w:t>
      </w:r>
      <w:r w:rsidR="00DB0AB6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471CB" w:rsidRPr="00DB0AB6" w:rsidRDefault="00DB0AB6" w:rsidP="00F620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Обособленными структурными подразделениями отчетность представляется </w:t>
      </w:r>
      <w:r w:rsidR="00F620CF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начальнику отдела учета и отчетности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471CB" w:rsidRPr="00DB0AB6" w:rsidRDefault="00DB0AB6" w:rsidP="00F620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F620CF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целях составления отчета о движении де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</w:r>
    </w:p>
    <w:p w:rsidR="00C471CB" w:rsidRPr="00DB0AB6" w:rsidRDefault="00DB0AB6" w:rsidP="006E10C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F620CF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Бухгалтерская отчетность формируется </w:t>
      </w:r>
      <w:r w:rsidR="006E10CC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программе 1С: Предприятие БГУ, передается в виде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электронного д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окумента</w:t>
      </w:r>
      <w:r w:rsidR="006E10CC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учредителю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Бумажная копия комплекта отчетности хранится у </w:t>
      </w:r>
      <w:r w:rsidR="006E10CC"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финансового директора, наделенного полномочиями 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главного бухгалтера.</w:t>
      </w:r>
    </w:p>
    <w:p w:rsidR="00C471CB" w:rsidRPr="00DB0AB6" w:rsidRDefault="00DB0AB6" w:rsidP="006E10C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Отдельными</w:t>
      </w:r>
      <w:r w:rsidRPr="00DB0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bookmarkStart w:id="0" w:name="_GoBack"/>
      <w:r w:rsidRPr="00DB0A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прилож</w:t>
      </w:r>
      <w:bookmarkEnd w:id="0"/>
      <w:r w:rsidRPr="00DB0A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ениями</w:t>
      </w:r>
      <w:r w:rsidRPr="00DB0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A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</w:t>
      </w:r>
      <w:r w:rsidRPr="00DB0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A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учетной</w:t>
      </w:r>
      <w:r w:rsidRPr="00DB0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A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политике</w:t>
      </w:r>
      <w:r w:rsidRPr="00DB0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A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оформлены:</w:t>
      </w:r>
    </w:p>
    <w:p w:rsidR="00C471CB" w:rsidRPr="00DB0AB6" w:rsidRDefault="00DB0AB6" w:rsidP="006E10CC">
      <w:pPr>
        <w:numPr>
          <w:ilvl w:val="0"/>
          <w:numId w:val="1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комиссии по проверке показаний одометров автотранспорта.</w:t>
      </w:r>
    </w:p>
    <w:p w:rsidR="00C471CB" w:rsidRPr="00DB0AB6" w:rsidRDefault="00DB0AB6" w:rsidP="006E10CC">
      <w:pPr>
        <w:numPr>
          <w:ilvl w:val="0"/>
          <w:numId w:val="1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комиссии для проведения внезапной ревизии кассы.</w:t>
      </w:r>
    </w:p>
    <w:p w:rsidR="00C471CB" w:rsidRPr="00DB0AB6" w:rsidRDefault="00DB0AB6" w:rsidP="006E10CC">
      <w:pPr>
        <w:numPr>
          <w:ilvl w:val="0"/>
          <w:numId w:val="1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и образцы самостоятельно разработанных форм первичных документов.</w:t>
      </w:r>
    </w:p>
    <w:p w:rsidR="00C471CB" w:rsidRPr="00DB0AB6" w:rsidRDefault="00DB0AB6" w:rsidP="006E10CC">
      <w:pPr>
        <w:numPr>
          <w:ilvl w:val="0"/>
          <w:numId w:val="1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должностей сотрудников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которые имеют право подписывать первичные докум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енты.</w:t>
      </w:r>
    </w:p>
    <w:p w:rsidR="00C471CB" w:rsidRPr="00DB0AB6" w:rsidRDefault="00DB0AB6" w:rsidP="006E10CC">
      <w:pPr>
        <w:numPr>
          <w:ilvl w:val="0"/>
          <w:numId w:val="1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Номера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журналов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операций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71CB" w:rsidRPr="00DB0AB6" w:rsidRDefault="00DB0AB6" w:rsidP="006E10CC">
      <w:pPr>
        <w:numPr>
          <w:ilvl w:val="0"/>
          <w:numId w:val="1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основных первичных учетных документов, прилагаемых к журналам операций.</w:t>
      </w:r>
    </w:p>
    <w:p w:rsidR="00C471CB" w:rsidRPr="00DB0AB6" w:rsidRDefault="00DB0AB6" w:rsidP="006E10CC">
      <w:pPr>
        <w:numPr>
          <w:ilvl w:val="0"/>
          <w:numId w:val="1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должностей сотрудников, ответственных за бланки строгой отчетности.</w:t>
      </w:r>
    </w:p>
    <w:p w:rsidR="00C471CB" w:rsidRPr="00DB0AB6" w:rsidRDefault="00DB0AB6" w:rsidP="006E10CC">
      <w:pPr>
        <w:numPr>
          <w:ilvl w:val="0"/>
          <w:numId w:val="1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Рабочий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план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счетов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71CB" w:rsidRPr="00DB0AB6" w:rsidRDefault="00DB0AB6" w:rsidP="006E10CC">
      <w:pPr>
        <w:numPr>
          <w:ilvl w:val="0"/>
          <w:numId w:val="1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Положение о внутреннем финансовом контроле и 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 проведения внутренних проверок финансово-хозяйственной деятельности.</w:t>
      </w:r>
    </w:p>
    <w:p w:rsidR="00C471CB" w:rsidRPr="00DB0AB6" w:rsidRDefault="00DB0AB6" w:rsidP="006E10CC">
      <w:pPr>
        <w:numPr>
          <w:ilvl w:val="0"/>
          <w:numId w:val="1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хозяйственного и производственного инвентаря.</w:t>
      </w:r>
    </w:p>
    <w:p w:rsidR="00C471CB" w:rsidRPr="00DB0AB6" w:rsidRDefault="00DB0AB6" w:rsidP="006E10CC">
      <w:pPr>
        <w:numPr>
          <w:ilvl w:val="0"/>
          <w:numId w:val="1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График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документооборота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71CB" w:rsidRPr="00DB0AB6" w:rsidRDefault="00DB0AB6" w:rsidP="006E10CC">
      <w:pPr>
        <w:numPr>
          <w:ilvl w:val="0"/>
          <w:numId w:val="1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расчета резерва предстоящих расходов по выплатам персоналу.</w:t>
      </w:r>
    </w:p>
    <w:p w:rsidR="00C471CB" w:rsidRPr="00DB0AB6" w:rsidRDefault="00DB0AB6" w:rsidP="006E10CC">
      <w:pPr>
        <w:numPr>
          <w:ilvl w:val="0"/>
          <w:numId w:val="1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принятия обязательств и</w:t>
      </w:r>
      <w:r w:rsidRPr="00DB0A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санкционирование расходов.</w:t>
      </w:r>
    </w:p>
    <w:p w:rsidR="00C471CB" w:rsidRPr="00DB0AB6" w:rsidRDefault="00DB0AB6" w:rsidP="006E10CC">
      <w:pPr>
        <w:numPr>
          <w:ilvl w:val="0"/>
          <w:numId w:val="1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Признание в учете и раскрытие в бухгалтерской отчетности событий после отчетной даты.</w:t>
      </w:r>
    </w:p>
    <w:p w:rsidR="00C471CB" w:rsidRPr="00DB0AB6" w:rsidRDefault="00DB0AB6" w:rsidP="006E10CC">
      <w:pPr>
        <w:numPr>
          <w:ilvl w:val="0"/>
          <w:numId w:val="1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AB6">
        <w:rPr>
          <w:rFonts w:ascii="Times New Roman" w:hAnsi="Times New Roman" w:cs="Times New Roman"/>
          <w:color w:val="000000"/>
          <w:sz w:val="28"/>
          <w:szCs w:val="28"/>
        </w:rPr>
        <w:t>инвентаризаци</w:t>
      </w:r>
      <w:proofErr w:type="spellEnd"/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DB0A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71CB" w:rsidRPr="00DB0AB6" w:rsidRDefault="00DB0AB6" w:rsidP="006E10CC">
      <w:pPr>
        <w:numPr>
          <w:ilvl w:val="0"/>
          <w:numId w:val="1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передачи бухгалтерских документов при смене руководителя и главного бухгалтера.</w:t>
      </w:r>
    </w:p>
    <w:p w:rsidR="00C471CB" w:rsidRPr="00DB0AB6" w:rsidRDefault="00DB0AB6" w:rsidP="006E10CC">
      <w:pPr>
        <w:numPr>
          <w:ilvl w:val="0"/>
          <w:numId w:val="1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 о списании</w:t>
      </w: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дебиторской задолженности.</w:t>
      </w:r>
    </w:p>
    <w:p w:rsidR="00C471CB" w:rsidRPr="00DB0AB6" w:rsidRDefault="00DB0AB6" w:rsidP="006E10CC">
      <w:pPr>
        <w:numPr>
          <w:ilvl w:val="0"/>
          <w:numId w:val="11"/>
        </w:numPr>
        <w:ind w:left="78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0A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 о списании кредиторской задолженности.</w:t>
      </w:r>
    </w:p>
    <w:p w:rsidR="00C471CB" w:rsidRPr="00DB0AB6" w:rsidRDefault="00C471CB" w:rsidP="007E53B2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C471CB" w:rsidRPr="00DB0AB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6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B0B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F6F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E56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A093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4C43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D2A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54E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306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E646B"/>
    <w:multiLevelType w:val="hybridMultilevel"/>
    <w:tmpl w:val="48904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D50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0957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64D35"/>
    <w:rsid w:val="004F7E17"/>
    <w:rsid w:val="005A05CE"/>
    <w:rsid w:val="00653AF6"/>
    <w:rsid w:val="006E10CC"/>
    <w:rsid w:val="007E29C6"/>
    <w:rsid w:val="007E53B2"/>
    <w:rsid w:val="008E255E"/>
    <w:rsid w:val="00B73A5A"/>
    <w:rsid w:val="00C471CB"/>
    <w:rsid w:val="00DB0AB6"/>
    <w:rsid w:val="00E438A1"/>
    <w:rsid w:val="00F01E19"/>
    <w:rsid w:val="00F6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2F2B"/>
  <w15:docId w15:val="{6F9AB757-CB3A-47D0-B29A-D12CEDB9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64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0C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dc:description>Подготовлено экспертами Актион-МЦФЭР</dc:description>
  <cp:lastModifiedBy>Главный Бухгалтер</cp:lastModifiedBy>
  <cp:revision>2</cp:revision>
  <cp:lastPrinted>2023-03-29T05:56:00Z</cp:lastPrinted>
  <dcterms:created xsi:type="dcterms:W3CDTF">2023-03-29T05:59:00Z</dcterms:created>
  <dcterms:modified xsi:type="dcterms:W3CDTF">2023-03-29T05:59:00Z</dcterms:modified>
</cp:coreProperties>
</file>